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1</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1083</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735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1084</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348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348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Бушовський Віктор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Гонта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Довбенко Ольга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Дубиніна Анжела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Жинката Марина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Ікромова Світлана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Кіцану Євгеня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Кордонський Василь</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Лотоцький Андрій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Нажига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Огай Олексій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Орновицька Олена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Пархоменко Мальвіна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Пікалюк Вікторія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Присакар Альона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Скляр Ярослав</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Сосновська Іванна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Шевчук Василь</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Шендерюк Олександр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Щаслива-Малишева Анастасія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Юрчак Микола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25</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Нажига Ігор</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53</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15.58</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Орновицька Олена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38</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11.17</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Довбенко Ольга</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33</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9.70</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